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0" w:type="pct"/>
        <w:tblLook w:val="04A0"/>
      </w:tblPr>
      <w:tblGrid>
        <w:gridCol w:w="3809"/>
        <w:gridCol w:w="2299"/>
        <w:gridCol w:w="3545"/>
      </w:tblGrid>
      <w:tr w:rsidR="00332877" w:rsidTr="00E92923">
        <w:trPr>
          <w:trHeight w:val="1833"/>
        </w:trPr>
        <w:tc>
          <w:tcPr>
            <w:tcW w:w="1973" w:type="pct"/>
          </w:tcPr>
          <w:p w:rsidR="00332877" w:rsidRPr="00306B06" w:rsidRDefault="00332877" w:rsidP="00A638C7">
            <w:pPr>
              <w:autoSpaceDE w:val="0"/>
              <w:autoSpaceDN w:val="0"/>
              <w:adjustRightInd w:val="0"/>
              <w:ind w:right="26"/>
              <w:jc w:val="center"/>
              <w:rPr>
                <w:rFonts w:ascii="Bookman Old Style" w:hAnsi="Bookman Old Style"/>
                <w:b/>
                <w:bCs/>
                <w:sz w:val="20"/>
                <w:szCs w:val="24"/>
              </w:rPr>
            </w:pPr>
            <w:r w:rsidRPr="00306B06">
              <w:rPr>
                <w:rFonts w:ascii="Bookman Old Style" w:hAnsi="Bookman Old Style" w:cs="Nirmala UI"/>
                <w:iCs/>
                <w:sz w:val="20"/>
                <w:szCs w:val="18"/>
              </w:rPr>
              <w:tab/>
            </w:r>
            <w:r w:rsidRPr="00306B06">
              <w:rPr>
                <w:rFonts w:ascii="Bookman Old Style" w:hAnsi="Bookman Old Style" w:cs="Nirmala UI"/>
                <w:iCs/>
                <w:sz w:val="20"/>
                <w:szCs w:val="18"/>
              </w:rPr>
              <w:tab/>
            </w:r>
            <w:r w:rsidRPr="00306B06">
              <w:rPr>
                <w:rFonts w:ascii="Bookman Old Style" w:hAnsi="Bookman Old Style" w:cs="Nirmala UI"/>
                <w:iCs/>
                <w:sz w:val="20"/>
                <w:szCs w:val="18"/>
              </w:rPr>
              <w:tab/>
            </w:r>
            <w:r w:rsidRPr="00306B06">
              <w:rPr>
                <w:rFonts w:ascii="Bookman Old Style" w:hAnsi="Bookman Old Style" w:cs="Nirmala UI"/>
                <w:iCs/>
                <w:sz w:val="20"/>
                <w:szCs w:val="18"/>
              </w:rPr>
              <w:tab/>
            </w:r>
            <w:r w:rsidRPr="00306B06">
              <w:rPr>
                <w:rFonts w:ascii="Bookman Old Style" w:hAnsi="Bookman Old Style" w:cs="Times New Roman"/>
                <w:b/>
                <w:bCs/>
                <w:noProof/>
                <w:sz w:val="20"/>
                <w:szCs w:val="24"/>
                <w:lang w:bidi="ar-SA"/>
              </w:rPr>
              <w:drawing>
                <wp:inline distT="0" distB="0" distL="0" distR="0">
                  <wp:extent cx="1122045" cy="561975"/>
                  <wp:effectExtent l="57150" t="76200" r="268251" b="295275"/>
                  <wp:docPr id="47" name="Picture 3" descr="C:\Users\computer\Desktop\gst-righ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computer\Desktop\gst-right-logo.png"/>
                          <pic:cNvPicPr>
                            <a:picLocks noChangeAspect="1" noChangeArrowheads="1"/>
                          </pic:cNvPicPr>
                        </pic:nvPicPr>
                        <pic:blipFill>
                          <a:blip r:embed="rId5"/>
                          <a:srcRect/>
                          <a:stretch>
                            <a:fillRect/>
                          </a:stretch>
                        </pic:blipFill>
                        <pic:spPr>
                          <a:xfrm>
                            <a:off x="0" y="0"/>
                            <a:ext cx="1128282" cy="564921"/>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1191" w:type="pct"/>
          </w:tcPr>
          <w:p w:rsidR="00332877" w:rsidRPr="00306B06" w:rsidRDefault="00332877" w:rsidP="00A638C7">
            <w:pPr>
              <w:autoSpaceDE w:val="0"/>
              <w:autoSpaceDN w:val="0"/>
              <w:adjustRightInd w:val="0"/>
              <w:ind w:right="26"/>
              <w:jc w:val="center"/>
              <w:rPr>
                <w:rFonts w:ascii="Bookman Old Style" w:hAnsi="Bookman Old Style"/>
                <w:b/>
                <w:bCs/>
                <w:sz w:val="20"/>
                <w:szCs w:val="24"/>
              </w:rPr>
            </w:pPr>
            <w:r w:rsidRPr="00306B06">
              <w:rPr>
                <w:rFonts w:ascii="Bookman Old Style" w:hAnsi="Bookman Old Style" w:cs="Times New Roman"/>
                <w:b/>
                <w:bCs/>
                <w:noProof/>
                <w:sz w:val="20"/>
                <w:szCs w:val="24"/>
                <w:lang w:bidi="ar-SA"/>
              </w:rPr>
              <w:drawing>
                <wp:inline distT="0" distB="0" distL="0" distR="0">
                  <wp:extent cx="819150" cy="790575"/>
                  <wp:effectExtent l="0" t="0" r="0" b="0"/>
                  <wp:docPr id="4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10;&#10;Description automatically generated"/>
                          <pic:cNvPicPr>
                            <a:picLocks noChangeAspect="1" noChangeArrowheads="1"/>
                          </pic:cNvPicPr>
                        </pic:nvPicPr>
                        <pic:blipFill>
                          <a:blip r:embed="rId6"/>
                          <a:srcRect/>
                          <a:stretch>
                            <a:fillRect/>
                          </a:stretch>
                        </pic:blipFill>
                        <pic:spPr>
                          <a:xfrm>
                            <a:off x="0" y="0"/>
                            <a:ext cx="819869" cy="791269"/>
                          </a:xfrm>
                          <a:prstGeom prst="rect">
                            <a:avLst/>
                          </a:prstGeom>
                          <a:noFill/>
                          <a:ln w="9525">
                            <a:noFill/>
                            <a:miter lim="800000"/>
                            <a:headEnd/>
                            <a:tailEnd/>
                          </a:ln>
                        </pic:spPr>
                      </pic:pic>
                    </a:graphicData>
                  </a:graphic>
                </wp:inline>
              </w:drawing>
            </w:r>
          </w:p>
        </w:tc>
        <w:tc>
          <w:tcPr>
            <w:tcW w:w="1836" w:type="pct"/>
            <w:vAlign w:val="center"/>
          </w:tcPr>
          <w:p w:rsidR="00332877" w:rsidRPr="00306B06" w:rsidRDefault="00332877" w:rsidP="00A638C7">
            <w:pPr>
              <w:autoSpaceDE w:val="0"/>
              <w:autoSpaceDN w:val="0"/>
              <w:adjustRightInd w:val="0"/>
              <w:ind w:right="26"/>
              <w:jc w:val="center"/>
              <w:rPr>
                <w:rFonts w:ascii="Bookman Old Style" w:hAnsi="Bookman Old Style"/>
                <w:b/>
                <w:bCs/>
                <w:sz w:val="20"/>
                <w:szCs w:val="24"/>
                <w:u w:val="single"/>
              </w:rPr>
            </w:pPr>
            <w:r w:rsidRPr="00306B06">
              <w:rPr>
                <w:rFonts w:ascii="Bookman Old Style" w:hAnsi="Bookman Old Style" w:cs="Times New Roman"/>
                <w:b/>
                <w:bCs/>
                <w:sz w:val="20"/>
                <w:szCs w:val="24"/>
                <w:u w:val="single"/>
              </w:rPr>
              <w:t xml:space="preserve">Ph:  0674-258 9662,   </w:t>
            </w:r>
          </w:p>
          <w:p w:rsidR="00332877" w:rsidRPr="00306B06" w:rsidRDefault="00332877" w:rsidP="00A638C7">
            <w:pPr>
              <w:autoSpaceDE w:val="0"/>
              <w:autoSpaceDN w:val="0"/>
              <w:adjustRightInd w:val="0"/>
              <w:ind w:right="26"/>
              <w:jc w:val="center"/>
              <w:rPr>
                <w:rFonts w:ascii="Bookman Old Style" w:hAnsi="Bookman Old Style"/>
                <w:b/>
                <w:bCs/>
                <w:sz w:val="20"/>
                <w:szCs w:val="24"/>
                <w:u w:val="single"/>
              </w:rPr>
            </w:pPr>
            <w:r w:rsidRPr="00306B06">
              <w:rPr>
                <w:rFonts w:ascii="Bookman Old Style" w:hAnsi="Bookman Old Style" w:cs="Times New Roman"/>
                <w:b/>
                <w:bCs/>
                <w:sz w:val="20"/>
                <w:szCs w:val="24"/>
                <w:u w:val="single"/>
              </w:rPr>
              <w:t>Fax: 0674-258 9612,</w:t>
            </w:r>
          </w:p>
        </w:tc>
      </w:tr>
    </w:tbl>
    <w:p w:rsidR="00332877" w:rsidRPr="00306B06" w:rsidRDefault="00332877" w:rsidP="00332877">
      <w:pPr>
        <w:pStyle w:val="BodyText"/>
        <w:tabs>
          <w:tab w:val="left" w:pos="2160"/>
        </w:tabs>
        <w:spacing w:after="0"/>
        <w:ind w:right="26"/>
        <w:jc w:val="center"/>
        <w:rPr>
          <w:rFonts w:ascii="Bookman Old Style" w:hAnsi="Bookman Old Style"/>
          <w:b/>
          <w:bCs/>
          <w:sz w:val="20"/>
          <w:szCs w:val="20"/>
        </w:rPr>
      </w:pPr>
      <w:r w:rsidRPr="00306B06">
        <w:rPr>
          <w:rFonts w:ascii="Bookman Old Style" w:hAnsi="Bookman Old Style" w:cs="Nirmala UI"/>
          <w:b/>
          <w:bCs/>
          <w:sz w:val="20"/>
          <w:szCs w:val="20"/>
          <w:cs/>
          <w:lang w:bidi="hi-IN"/>
        </w:rPr>
        <w:t>प्रधान आयुक्त का कार्यालय</w:t>
      </w:r>
      <w:r w:rsidRPr="00306B06">
        <w:rPr>
          <w:rFonts w:ascii="Bookman Old Style" w:hAnsi="Bookman Old Style"/>
          <w:b/>
          <w:bCs/>
          <w:sz w:val="20"/>
          <w:szCs w:val="20"/>
          <w:cs/>
          <w:lang w:bidi="hi-IN"/>
        </w:rPr>
        <w:t xml:space="preserve"> / </w:t>
      </w:r>
      <w:r w:rsidRPr="00306B06">
        <w:rPr>
          <w:rFonts w:ascii="Bookman Old Style" w:hAnsi="Bookman Old Style"/>
          <w:b/>
          <w:bCs/>
          <w:sz w:val="20"/>
          <w:szCs w:val="20"/>
        </w:rPr>
        <w:t>OFFICE OF THE PRINCIPAL COMMISSIONER,</w:t>
      </w:r>
    </w:p>
    <w:p w:rsidR="00332877" w:rsidRPr="00306B06" w:rsidRDefault="00332877" w:rsidP="00332877">
      <w:pPr>
        <w:pStyle w:val="BodyText"/>
        <w:tabs>
          <w:tab w:val="left" w:pos="2160"/>
        </w:tabs>
        <w:spacing w:after="0"/>
        <w:ind w:right="26"/>
        <w:jc w:val="center"/>
        <w:rPr>
          <w:rFonts w:ascii="Bookman Old Style" w:hAnsi="Bookman Old Style"/>
          <w:b/>
          <w:bCs/>
          <w:sz w:val="20"/>
          <w:szCs w:val="20"/>
          <w:lang w:bidi="hi-IN"/>
        </w:rPr>
      </w:pPr>
      <w:r w:rsidRPr="00306B06">
        <w:rPr>
          <w:rFonts w:ascii="Bookman Old Style" w:hAnsi="Bookman Old Style" w:cs="Nirmala UI"/>
          <w:b/>
          <w:bCs/>
          <w:sz w:val="20"/>
          <w:szCs w:val="20"/>
          <w:cs/>
          <w:lang w:bidi="hi-IN"/>
        </w:rPr>
        <w:t>जीएसटी एव केन्द्रीय उत्पाद शुल्क भुवनेश्वर</w:t>
      </w:r>
      <w:r w:rsidRPr="00306B06">
        <w:rPr>
          <w:rFonts w:ascii="Bookman Old Style" w:hAnsi="Bookman Old Style"/>
          <w:b/>
          <w:bCs/>
          <w:sz w:val="20"/>
          <w:szCs w:val="20"/>
          <w:cs/>
          <w:lang w:bidi="hi-IN"/>
        </w:rPr>
        <w:t xml:space="preserve">/ </w:t>
      </w:r>
      <w:r w:rsidRPr="00306B06">
        <w:rPr>
          <w:rFonts w:ascii="Bookman Old Style" w:hAnsi="Bookman Old Style"/>
          <w:b/>
          <w:bCs/>
          <w:sz w:val="20"/>
          <w:szCs w:val="20"/>
        </w:rPr>
        <w:t>GST &amp; CENTRAL EXCISE, BHUBANESWAR</w:t>
      </w:r>
    </w:p>
    <w:p w:rsidR="00332877" w:rsidRPr="00306B06" w:rsidRDefault="00332877" w:rsidP="00332877">
      <w:pPr>
        <w:pStyle w:val="BodyText"/>
        <w:tabs>
          <w:tab w:val="left" w:pos="2160"/>
        </w:tabs>
        <w:spacing w:after="0"/>
        <w:ind w:right="26"/>
        <w:jc w:val="center"/>
        <w:rPr>
          <w:rFonts w:ascii="Bookman Old Style" w:hAnsi="Bookman Old Style"/>
          <w:b/>
          <w:bCs/>
          <w:sz w:val="20"/>
          <w:szCs w:val="20"/>
          <w:cs/>
          <w:lang w:bidi="hi-IN"/>
        </w:rPr>
      </w:pPr>
      <w:r w:rsidRPr="00306B06">
        <w:rPr>
          <w:rFonts w:ascii="Bookman Old Style" w:hAnsi="Bookman Old Style" w:cs="Nirmala UI"/>
          <w:b/>
          <w:bCs/>
          <w:sz w:val="20"/>
          <w:szCs w:val="20"/>
          <w:cs/>
          <w:lang w:bidi="hi-IN"/>
        </w:rPr>
        <w:t>केन्द्रीय राजस्व बिल्डिंग</w:t>
      </w:r>
      <w:r w:rsidRPr="00306B06">
        <w:rPr>
          <w:rFonts w:ascii="Bookman Old Style" w:hAnsi="Bookman Old Style" w:cs="Arial"/>
          <w:b/>
          <w:bCs/>
          <w:sz w:val="20"/>
          <w:szCs w:val="20"/>
          <w:cs/>
          <w:lang w:bidi="hi-IN"/>
        </w:rPr>
        <w:t xml:space="preserve"> , </w:t>
      </w:r>
      <w:r w:rsidRPr="00306B06">
        <w:rPr>
          <w:rFonts w:ascii="Bookman Old Style" w:hAnsi="Bookman Old Style" w:cs="Nirmala UI"/>
          <w:b/>
          <w:bCs/>
          <w:sz w:val="20"/>
          <w:szCs w:val="20"/>
          <w:cs/>
          <w:lang w:bidi="hi-IN"/>
        </w:rPr>
        <w:t>राजस्व विहार</w:t>
      </w:r>
      <w:r w:rsidRPr="00306B06">
        <w:rPr>
          <w:rFonts w:ascii="Bookman Old Style" w:hAnsi="Bookman Old Style"/>
          <w:b/>
          <w:bCs/>
          <w:sz w:val="20"/>
          <w:szCs w:val="20"/>
          <w:cs/>
          <w:lang w:bidi="hi-IN"/>
        </w:rPr>
        <w:t xml:space="preserve"> / </w:t>
      </w:r>
      <w:r w:rsidRPr="00306B06">
        <w:rPr>
          <w:rFonts w:ascii="Bookman Old Style" w:hAnsi="Bookman Old Style"/>
          <w:b/>
          <w:bCs/>
          <w:sz w:val="20"/>
          <w:szCs w:val="20"/>
        </w:rPr>
        <w:t xml:space="preserve">C.R. BUILDING, RAJASWA VIHAR, </w:t>
      </w:r>
    </w:p>
    <w:p w:rsidR="00332877" w:rsidRPr="00306B06" w:rsidRDefault="006D0D7C" w:rsidP="00332877">
      <w:pPr>
        <w:pStyle w:val="BodyText"/>
        <w:tabs>
          <w:tab w:val="left" w:pos="2160"/>
        </w:tabs>
        <w:ind w:right="26"/>
        <w:jc w:val="center"/>
        <w:rPr>
          <w:rFonts w:ascii="Bookman Old Style" w:hAnsi="Bookman Old Style"/>
          <w:b/>
          <w:bCs/>
          <w:sz w:val="20"/>
          <w:szCs w:val="20"/>
        </w:rPr>
      </w:pPr>
      <w:r w:rsidRPr="006D0D7C">
        <w:rPr>
          <w:rFonts w:ascii="Bookman Old Style" w:hAnsi="Bookman Old Style" w:cs="Arial"/>
          <w:b/>
          <w:bCs/>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5.8pt;margin-top:17.2pt;width:513.75pt;height:0;z-index:251660288;mso-position-horizontal-relative:margin" o:connectortype="straight">
            <w10:wrap anchorx="margin"/>
          </v:shape>
        </w:pict>
      </w:r>
      <w:r w:rsidR="00332877" w:rsidRPr="00306B06">
        <w:rPr>
          <w:rFonts w:ascii="Bookman Old Style" w:hAnsi="Bookman Old Style" w:cs="Nirmala UI"/>
          <w:b/>
          <w:bCs/>
          <w:sz w:val="20"/>
          <w:szCs w:val="20"/>
          <w:cs/>
          <w:lang w:bidi="hi-IN"/>
        </w:rPr>
        <w:t>भुवनेश्वर</w:t>
      </w:r>
      <w:r w:rsidR="00332877" w:rsidRPr="00306B06">
        <w:rPr>
          <w:rFonts w:ascii="Bookman Old Style" w:hAnsi="Bookman Old Style" w:cs="Arial"/>
          <w:b/>
          <w:bCs/>
          <w:sz w:val="20"/>
          <w:szCs w:val="20"/>
          <w:cs/>
          <w:lang w:bidi="hi-IN"/>
        </w:rPr>
        <w:t xml:space="preserve">  (</w:t>
      </w:r>
      <w:r w:rsidR="00332877" w:rsidRPr="00306B06">
        <w:rPr>
          <w:rFonts w:ascii="Bookman Old Style" w:hAnsi="Bookman Old Style" w:cs="Nirmala UI"/>
          <w:b/>
          <w:bCs/>
          <w:sz w:val="20"/>
          <w:szCs w:val="20"/>
          <w:cs/>
          <w:lang w:bidi="hi-IN"/>
        </w:rPr>
        <w:t>ओड़िशा</w:t>
      </w:r>
      <w:r w:rsidR="00332877" w:rsidRPr="00306B06">
        <w:rPr>
          <w:rFonts w:ascii="Bookman Old Style" w:hAnsi="Bookman Old Style" w:cs="Arial"/>
          <w:b/>
          <w:bCs/>
          <w:sz w:val="20"/>
          <w:szCs w:val="20"/>
          <w:cs/>
          <w:lang w:bidi="hi-IN"/>
        </w:rPr>
        <w:t>)</w:t>
      </w:r>
      <w:r w:rsidR="00332877" w:rsidRPr="00306B06">
        <w:rPr>
          <w:rFonts w:ascii="Bookman Old Style" w:hAnsi="Bookman Old Style"/>
          <w:b/>
          <w:bCs/>
          <w:sz w:val="20"/>
          <w:szCs w:val="20"/>
          <w:cs/>
          <w:lang w:bidi="hi-IN"/>
        </w:rPr>
        <w:t xml:space="preserve"> / </w:t>
      </w:r>
      <w:r w:rsidR="00332877" w:rsidRPr="00306B06">
        <w:rPr>
          <w:rFonts w:ascii="Bookman Old Style" w:hAnsi="Bookman Old Style"/>
          <w:b/>
          <w:bCs/>
          <w:sz w:val="20"/>
          <w:szCs w:val="20"/>
        </w:rPr>
        <w:t>BHUBANESWAR (ODISHA)751007</w:t>
      </w:r>
    </w:p>
    <w:p w:rsidR="00332877" w:rsidRPr="0080790D" w:rsidRDefault="00332877" w:rsidP="00332877">
      <w:pPr>
        <w:pStyle w:val="Header"/>
        <w:tabs>
          <w:tab w:val="left" w:pos="9360"/>
        </w:tabs>
        <w:spacing w:line="276" w:lineRule="auto"/>
        <w:jc w:val="center"/>
        <w:rPr>
          <w:rFonts w:ascii="Bookman Old Style" w:hAnsi="Bookman Old Style" w:cs="Arial"/>
          <w:bCs/>
          <w:color w:val="000000" w:themeColor="text1"/>
          <w:sz w:val="24"/>
          <w:szCs w:val="24"/>
        </w:rPr>
      </w:pPr>
      <w:r w:rsidRPr="0080790D">
        <w:rPr>
          <w:rFonts w:ascii="Bookman Old Style" w:hAnsi="Bookman Old Style" w:cs="Arial"/>
          <w:bCs/>
          <w:color w:val="000000" w:themeColor="text1"/>
          <w:sz w:val="24"/>
          <w:szCs w:val="24"/>
        </w:rPr>
        <w:t xml:space="preserve">                                                                              </w:t>
      </w:r>
      <w:r>
        <w:rPr>
          <w:rFonts w:ascii="Bookman Old Style" w:hAnsi="Bookman Old Style" w:cs="Arial"/>
          <w:bCs/>
          <w:color w:val="000000" w:themeColor="text1"/>
          <w:sz w:val="24"/>
          <w:szCs w:val="24"/>
        </w:rPr>
        <w:t xml:space="preserve">           </w:t>
      </w:r>
      <w:r w:rsidRPr="0080790D">
        <w:rPr>
          <w:rFonts w:ascii="Bookman Old Style" w:hAnsi="Bookman Old Style" w:cs="Arial"/>
          <w:bCs/>
          <w:color w:val="000000" w:themeColor="text1"/>
          <w:sz w:val="24"/>
          <w:szCs w:val="24"/>
        </w:rPr>
        <w:t xml:space="preserve"> </w:t>
      </w:r>
      <w:proofErr w:type="gramStart"/>
      <w:r w:rsidRPr="0080790D">
        <w:rPr>
          <w:rFonts w:ascii="Bookman Old Style" w:hAnsi="Bookman Old Style" w:cs="Arial"/>
          <w:bCs/>
          <w:color w:val="000000" w:themeColor="text1"/>
          <w:sz w:val="24"/>
          <w:szCs w:val="24"/>
        </w:rPr>
        <w:t>Dated :</w:t>
      </w:r>
      <w:proofErr w:type="gramEnd"/>
      <w:r w:rsidRPr="0080790D">
        <w:rPr>
          <w:rFonts w:ascii="Bookman Old Style" w:hAnsi="Bookman Old Style" w:cs="Arial"/>
          <w:bCs/>
          <w:color w:val="000000" w:themeColor="text1"/>
          <w:sz w:val="24"/>
          <w:szCs w:val="24"/>
        </w:rPr>
        <w:t xml:space="preserve"> 22.09.2025</w:t>
      </w:r>
    </w:p>
    <w:p w:rsidR="00332877" w:rsidRPr="0080790D" w:rsidRDefault="00332877" w:rsidP="00332877">
      <w:pPr>
        <w:pStyle w:val="Header"/>
        <w:tabs>
          <w:tab w:val="left" w:pos="9360"/>
        </w:tabs>
        <w:spacing w:line="276" w:lineRule="auto"/>
        <w:jc w:val="center"/>
        <w:rPr>
          <w:rFonts w:ascii="Bookman Old Style" w:hAnsi="Bookman Old Style" w:cs="Arial"/>
          <w:b/>
          <w:bCs/>
          <w:color w:val="000000" w:themeColor="text1"/>
          <w:sz w:val="32"/>
          <w:szCs w:val="24"/>
          <w:u w:val="single"/>
        </w:rPr>
      </w:pPr>
      <w:r w:rsidRPr="0080790D">
        <w:rPr>
          <w:rFonts w:ascii="Bookman Old Style" w:hAnsi="Bookman Old Style" w:cs="Arial"/>
          <w:b/>
          <w:bCs/>
          <w:color w:val="000000" w:themeColor="text1"/>
          <w:sz w:val="32"/>
          <w:szCs w:val="24"/>
          <w:u w:val="single"/>
        </w:rPr>
        <w:t>Press Note</w:t>
      </w:r>
      <w:r w:rsidRPr="0080790D">
        <w:rPr>
          <w:rFonts w:ascii="Bookman Old Style" w:hAnsi="Bookman Old Style" w:cs="Arial"/>
          <w:b/>
          <w:bCs/>
          <w:color w:val="000000" w:themeColor="text1"/>
          <w:sz w:val="32"/>
          <w:szCs w:val="24"/>
        </w:rPr>
        <w:t xml:space="preserve">       </w:t>
      </w:r>
    </w:p>
    <w:p w:rsidR="00332877" w:rsidRDefault="00332877" w:rsidP="00332877">
      <w:pPr>
        <w:pStyle w:val="Header"/>
        <w:tabs>
          <w:tab w:val="left" w:pos="9360"/>
        </w:tabs>
        <w:spacing w:line="276" w:lineRule="auto"/>
        <w:jc w:val="center"/>
        <w:rPr>
          <w:rFonts w:ascii="Bookman Old Style" w:hAnsi="Bookman Old Style" w:cs="Arial"/>
          <w:b/>
          <w:bCs/>
          <w:color w:val="000000" w:themeColor="text1"/>
          <w:sz w:val="24"/>
          <w:szCs w:val="24"/>
          <w:u w:val="single"/>
        </w:rPr>
      </w:pPr>
      <w:r>
        <w:rPr>
          <w:rFonts w:ascii="Bookman Old Style" w:hAnsi="Bookman Old Style" w:cs="Arial"/>
          <w:b/>
          <w:bCs/>
          <w:color w:val="000000" w:themeColor="text1"/>
          <w:sz w:val="24"/>
          <w:szCs w:val="24"/>
          <w:u w:val="single"/>
        </w:rPr>
        <w:t>NEXT GENERATION GST REFORMS</w:t>
      </w:r>
    </w:p>
    <w:p w:rsidR="005662D7" w:rsidRDefault="005662D7" w:rsidP="005662D7">
      <w:pPr>
        <w:pStyle w:val="Header"/>
        <w:tabs>
          <w:tab w:val="left" w:pos="9360"/>
        </w:tabs>
        <w:spacing w:line="276" w:lineRule="auto"/>
        <w:jc w:val="both"/>
        <w:rPr>
          <w:rFonts w:ascii="Bookman Old Style" w:hAnsi="Bookman Old Style" w:cs="Arial"/>
          <w:bCs/>
          <w:color w:val="000000" w:themeColor="text1"/>
          <w:sz w:val="24"/>
          <w:szCs w:val="24"/>
        </w:rPr>
      </w:pPr>
      <w:r>
        <w:rPr>
          <w:rFonts w:ascii="Bookman Old Style" w:hAnsi="Bookman Old Style" w:cs="Arial"/>
          <w:bCs/>
          <w:color w:val="000000" w:themeColor="text1"/>
          <w:sz w:val="24"/>
          <w:szCs w:val="24"/>
        </w:rPr>
        <w:t xml:space="preserve">Government of India has effected following GST rate cuts for further ease of living of common man and also for further ease of doing business for trade and industry particularly MSME </w:t>
      </w:r>
      <w:proofErr w:type="spellStart"/>
      <w:r>
        <w:rPr>
          <w:rFonts w:ascii="Bookman Old Style" w:hAnsi="Bookman Old Style" w:cs="Arial"/>
          <w:bCs/>
          <w:color w:val="000000" w:themeColor="text1"/>
          <w:sz w:val="24"/>
          <w:szCs w:val="24"/>
        </w:rPr>
        <w:t>w.e.f</w:t>
      </w:r>
      <w:proofErr w:type="spellEnd"/>
      <w:r>
        <w:rPr>
          <w:rFonts w:ascii="Bookman Old Style" w:hAnsi="Bookman Old Style" w:cs="Arial"/>
          <w:bCs/>
          <w:color w:val="000000" w:themeColor="text1"/>
          <w:sz w:val="24"/>
          <w:szCs w:val="24"/>
        </w:rPr>
        <w:t>. 22.09.2025.</w:t>
      </w:r>
    </w:p>
    <w:p w:rsidR="005662D7" w:rsidRPr="00674CA9" w:rsidRDefault="005662D7" w:rsidP="005662D7">
      <w:pPr>
        <w:pStyle w:val="Header"/>
        <w:tabs>
          <w:tab w:val="left" w:pos="9360"/>
        </w:tabs>
        <w:spacing w:line="276" w:lineRule="auto"/>
        <w:rPr>
          <w:rFonts w:ascii="Bookman Old Style" w:hAnsi="Bookman Old Style" w:cs="Arial"/>
          <w:b/>
          <w:bCs/>
          <w:color w:val="000000" w:themeColor="text1"/>
          <w:sz w:val="24"/>
          <w:szCs w:val="24"/>
        </w:rPr>
      </w:pPr>
      <w:r w:rsidRPr="00674CA9">
        <w:rPr>
          <w:rFonts w:ascii="Bookman Old Style" w:hAnsi="Bookman Old Style" w:cs="Arial"/>
          <w:b/>
          <w:bCs/>
          <w:color w:val="000000" w:themeColor="text1"/>
          <w:sz w:val="24"/>
          <w:szCs w:val="24"/>
        </w:rPr>
        <w:t xml:space="preserve">Salient </w:t>
      </w:r>
      <w:proofErr w:type="gramStart"/>
      <w:r w:rsidRPr="00674CA9">
        <w:rPr>
          <w:rFonts w:ascii="Bookman Old Style" w:hAnsi="Bookman Old Style" w:cs="Arial"/>
          <w:b/>
          <w:bCs/>
          <w:color w:val="000000" w:themeColor="text1"/>
          <w:sz w:val="24"/>
          <w:szCs w:val="24"/>
        </w:rPr>
        <w:t>features :</w:t>
      </w:r>
      <w:proofErr w:type="gramEnd"/>
      <w:r w:rsidRPr="00674CA9">
        <w:rPr>
          <w:rFonts w:ascii="Bookman Old Style" w:hAnsi="Bookman Old Style" w:cs="Arial"/>
          <w:b/>
          <w:bCs/>
          <w:color w:val="000000" w:themeColor="text1"/>
          <w:sz w:val="24"/>
          <w:szCs w:val="24"/>
        </w:rPr>
        <w:t>-</w:t>
      </w:r>
    </w:p>
    <w:p w:rsidR="005662D7" w:rsidRPr="001147F7" w:rsidRDefault="005662D7" w:rsidP="005662D7">
      <w:pPr>
        <w:pStyle w:val="Header"/>
        <w:numPr>
          <w:ilvl w:val="0"/>
          <w:numId w:val="1"/>
        </w:numPr>
        <w:tabs>
          <w:tab w:val="left" w:pos="9360"/>
        </w:tabs>
        <w:spacing w:line="276" w:lineRule="auto"/>
        <w:jc w:val="both"/>
        <w:rPr>
          <w:lang w:val="en-US"/>
        </w:rPr>
      </w:pPr>
      <w:r w:rsidRPr="001147F7">
        <w:rPr>
          <w:rFonts w:ascii="Bookman Old Style" w:hAnsi="Bookman Old Style" w:cs="Arial"/>
          <w:bCs/>
          <w:color w:val="000000" w:themeColor="text1"/>
          <w:sz w:val="24"/>
          <w:szCs w:val="24"/>
          <w:lang w:val="en-US"/>
        </w:rPr>
        <w:t>Exemption of GST on all individual life insurance policies whether term life, ULIP or endowment policies and reinsurance thereof to make insurance affordable for the common man.</w:t>
      </w:r>
    </w:p>
    <w:p w:rsidR="005662D7" w:rsidRPr="001147F7" w:rsidRDefault="005662D7" w:rsidP="005662D7">
      <w:pPr>
        <w:pStyle w:val="Header"/>
        <w:numPr>
          <w:ilvl w:val="0"/>
          <w:numId w:val="1"/>
        </w:numPr>
        <w:tabs>
          <w:tab w:val="left" w:pos="9360"/>
        </w:tabs>
        <w:spacing w:line="276" w:lineRule="auto"/>
        <w:jc w:val="both"/>
        <w:rPr>
          <w:lang w:val="en-US"/>
        </w:rPr>
      </w:pPr>
      <w:r w:rsidRPr="001147F7">
        <w:rPr>
          <w:rFonts w:ascii="Bookman Old Style" w:hAnsi="Bookman Old Style" w:cs="Arial"/>
          <w:color w:val="000000" w:themeColor="text1"/>
          <w:sz w:val="24"/>
          <w:szCs w:val="24"/>
          <w:lang w:val="en-US"/>
        </w:rPr>
        <w:t>Exemption of GST on all indiv</w:t>
      </w:r>
      <w:r>
        <w:rPr>
          <w:rFonts w:ascii="Bookman Old Style" w:hAnsi="Bookman Old Style" w:cs="Arial"/>
          <w:color w:val="000000" w:themeColor="text1"/>
          <w:sz w:val="24"/>
          <w:szCs w:val="24"/>
          <w:lang w:val="en-US"/>
        </w:rPr>
        <w:t>idual health insurance policies</w:t>
      </w:r>
      <w:r w:rsidRPr="001147F7">
        <w:rPr>
          <w:rFonts w:ascii="Bookman Old Style" w:hAnsi="Bookman Old Style" w:cs="Arial"/>
          <w:color w:val="000000" w:themeColor="text1"/>
          <w:sz w:val="24"/>
          <w:szCs w:val="24"/>
          <w:lang w:val="en-US"/>
        </w:rPr>
        <w:t xml:space="preserve"> and reinsurance thereof to make insurance affordable for the common man</w:t>
      </w:r>
      <w:r>
        <w:rPr>
          <w:rFonts w:ascii="Bookman Old Style" w:hAnsi="Bookman Old Style" w:cs="Arial"/>
          <w:color w:val="000000" w:themeColor="text1"/>
          <w:sz w:val="24"/>
          <w:szCs w:val="24"/>
          <w:lang w:val="en-US"/>
        </w:rPr>
        <w:t>.</w:t>
      </w:r>
    </w:p>
    <w:p w:rsidR="005662D7" w:rsidRPr="008D777D" w:rsidRDefault="005662D7" w:rsidP="005662D7">
      <w:pPr>
        <w:pStyle w:val="Header"/>
        <w:numPr>
          <w:ilvl w:val="0"/>
          <w:numId w:val="1"/>
        </w:numPr>
        <w:tabs>
          <w:tab w:val="left" w:pos="9360"/>
        </w:tabs>
        <w:spacing w:line="276" w:lineRule="auto"/>
        <w:jc w:val="both"/>
        <w:rPr>
          <w:rFonts w:ascii="Bookman Old Style" w:hAnsi="Bookman Old Style" w:cs="Arial"/>
          <w:bCs/>
          <w:color w:val="000000" w:themeColor="text1"/>
          <w:sz w:val="24"/>
          <w:szCs w:val="24"/>
          <w:lang w:val="en-US"/>
        </w:rPr>
      </w:pPr>
      <w:proofErr w:type="spellStart"/>
      <w:r w:rsidRPr="008D777D">
        <w:rPr>
          <w:rFonts w:ascii="Bookman Old Style" w:hAnsi="Bookman Old Style" w:cs="Arial"/>
          <w:color w:val="000000" w:themeColor="text1"/>
          <w:sz w:val="24"/>
          <w:szCs w:val="24"/>
          <w:lang w:val="en-US"/>
        </w:rPr>
        <w:t>Rationalisation</w:t>
      </w:r>
      <w:proofErr w:type="spellEnd"/>
      <w:r w:rsidRPr="008D777D">
        <w:rPr>
          <w:rFonts w:ascii="Bookman Old Style" w:hAnsi="Bookman Old Style" w:cs="Arial"/>
          <w:color w:val="000000" w:themeColor="text1"/>
          <w:sz w:val="24"/>
          <w:szCs w:val="24"/>
          <w:lang w:val="en-US"/>
        </w:rPr>
        <w:t xml:space="preserve"> of the current 4-tiered tax rate structure into a citizen-friendly ‘Simple Tax’ - a 2 rate structure with a Standard Rate of 18% and a Merit Rate of 5%; a special de-merit rate of 40% for a select few goods and services</w:t>
      </w:r>
      <w:r>
        <w:rPr>
          <w:rFonts w:ascii="Bookman Old Style" w:hAnsi="Bookman Old Style" w:cs="Arial"/>
          <w:color w:val="000000" w:themeColor="text1"/>
          <w:sz w:val="24"/>
          <w:szCs w:val="24"/>
          <w:lang w:val="en-US"/>
        </w:rPr>
        <w:t>.</w:t>
      </w:r>
    </w:p>
    <w:p w:rsidR="005662D7" w:rsidRDefault="005662D7" w:rsidP="005662D7">
      <w:pPr>
        <w:pStyle w:val="Header"/>
        <w:numPr>
          <w:ilvl w:val="0"/>
          <w:numId w:val="1"/>
        </w:numPr>
        <w:tabs>
          <w:tab w:val="left" w:pos="9360"/>
        </w:tabs>
        <w:spacing w:line="276" w:lineRule="auto"/>
        <w:jc w:val="both"/>
        <w:rPr>
          <w:rFonts w:ascii="Bookman Old Style" w:hAnsi="Bookman Old Style" w:cs="Arial"/>
          <w:bCs/>
          <w:color w:val="000000" w:themeColor="text1"/>
          <w:sz w:val="24"/>
          <w:szCs w:val="24"/>
        </w:rPr>
      </w:pPr>
      <w:r w:rsidRPr="008D777D">
        <w:rPr>
          <w:rFonts w:ascii="Bookman Old Style" w:hAnsi="Bookman Old Style" w:cs="Arial"/>
          <w:bCs/>
          <w:color w:val="000000" w:themeColor="text1"/>
          <w:sz w:val="24"/>
          <w:szCs w:val="24"/>
        </w:rPr>
        <w:t>Reduction of GST from 18% OR 12% to 5% on a host of common man items such as, hair oil, toilet soap bars, shampoos, toothbrushes, toothpaste, Bicycles, Tableware, kitchenwar</w:t>
      </w:r>
      <w:r>
        <w:rPr>
          <w:rFonts w:ascii="Bookman Old Style" w:hAnsi="Bookman Old Style" w:cs="Arial"/>
          <w:bCs/>
          <w:color w:val="000000" w:themeColor="text1"/>
          <w:sz w:val="24"/>
          <w:szCs w:val="24"/>
        </w:rPr>
        <w:t>e, other household articles etc.</w:t>
      </w:r>
    </w:p>
    <w:p w:rsidR="005662D7" w:rsidRPr="008D777D" w:rsidRDefault="005662D7" w:rsidP="005662D7">
      <w:pPr>
        <w:pStyle w:val="Header"/>
        <w:numPr>
          <w:ilvl w:val="0"/>
          <w:numId w:val="1"/>
        </w:numPr>
        <w:tabs>
          <w:tab w:val="left" w:pos="9360"/>
        </w:tabs>
        <w:spacing w:line="276" w:lineRule="auto"/>
        <w:jc w:val="both"/>
        <w:rPr>
          <w:rFonts w:ascii="Bookman Old Style" w:hAnsi="Bookman Old Style" w:cs="Arial"/>
          <w:bCs/>
          <w:color w:val="000000" w:themeColor="text1"/>
          <w:sz w:val="24"/>
          <w:szCs w:val="24"/>
        </w:rPr>
      </w:pPr>
      <w:r w:rsidRPr="008D777D">
        <w:rPr>
          <w:rFonts w:ascii="Bookman Old Style" w:hAnsi="Bookman Old Style" w:cs="Arial"/>
          <w:color w:val="000000" w:themeColor="text1"/>
          <w:sz w:val="24"/>
          <w:szCs w:val="24"/>
        </w:rPr>
        <w:t xml:space="preserve">Reduction of GST from 5% to NIL on Ultra-High Temperature (UHT) milk, </w:t>
      </w:r>
      <w:proofErr w:type="spellStart"/>
      <w:r w:rsidRPr="008D777D">
        <w:rPr>
          <w:rFonts w:ascii="Bookman Old Style" w:hAnsi="Bookman Old Style" w:cs="Arial"/>
          <w:color w:val="000000" w:themeColor="text1"/>
          <w:sz w:val="24"/>
          <w:szCs w:val="24"/>
        </w:rPr>
        <w:t>Prepackaged</w:t>
      </w:r>
      <w:proofErr w:type="spellEnd"/>
      <w:r w:rsidRPr="008D777D">
        <w:rPr>
          <w:rFonts w:ascii="Bookman Old Style" w:hAnsi="Bookman Old Style" w:cs="Arial"/>
          <w:color w:val="000000" w:themeColor="text1"/>
          <w:sz w:val="24"/>
          <w:szCs w:val="24"/>
        </w:rPr>
        <w:t xml:space="preserve"> and labelled </w:t>
      </w:r>
      <w:proofErr w:type="spellStart"/>
      <w:r w:rsidRPr="008D777D">
        <w:rPr>
          <w:rFonts w:ascii="Bookman Old Style" w:hAnsi="Bookman Old Style" w:cs="Arial"/>
          <w:color w:val="000000" w:themeColor="text1"/>
          <w:sz w:val="24"/>
          <w:szCs w:val="24"/>
        </w:rPr>
        <w:t>chena</w:t>
      </w:r>
      <w:proofErr w:type="spellEnd"/>
      <w:r w:rsidRPr="008D777D">
        <w:rPr>
          <w:rFonts w:ascii="Bookman Old Style" w:hAnsi="Bookman Old Style" w:cs="Arial"/>
          <w:color w:val="000000" w:themeColor="text1"/>
          <w:sz w:val="24"/>
          <w:szCs w:val="24"/>
        </w:rPr>
        <w:t xml:space="preserve"> or </w:t>
      </w:r>
      <w:proofErr w:type="spellStart"/>
      <w:r w:rsidRPr="008D777D">
        <w:rPr>
          <w:rFonts w:ascii="Bookman Old Style" w:hAnsi="Bookman Old Style" w:cs="Arial"/>
          <w:color w:val="000000" w:themeColor="text1"/>
          <w:sz w:val="24"/>
          <w:szCs w:val="24"/>
        </w:rPr>
        <w:t>paneer</w:t>
      </w:r>
      <w:proofErr w:type="spellEnd"/>
      <w:r w:rsidRPr="008D777D">
        <w:rPr>
          <w:rFonts w:ascii="Bookman Old Style" w:hAnsi="Bookman Old Style" w:cs="Arial"/>
          <w:color w:val="000000" w:themeColor="text1"/>
          <w:sz w:val="24"/>
          <w:szCs w:val="24"/>
        </w:rPr>
        <w:t>; All the Indian Breads will see NIL rates (</w:t>
      </w:r>
      <w:proofErr w:type="spellStart"/>
      <w:r w:rsidRPr="008D777D">
        <w:rPr>
          <w:rFonts w:ascii="Bookman Old Style" w:hAnsi="Bookman Old Style" w:cs="Arial"/>
          <w:color w:val="000000" w:themeColor="text1"/>
          <w:sz w:val="24"/>
          <w:szCs w:val="24"/>
        </w:rPr>
        <w:t>Chapati</w:t>
      </w:r>
      <w:proofErr w:type="spellEnd"/>
      <w:r w:rsidRPr="008D777D">
        <w:rPr>
          <w:rFonts w:ascii="Bookman Old Style" w:hAnsi="Bookman Old Style" w:cs="Arial"/>
          <w:color w:val="000000" w:themeColor="text1"/>
          <w:sz w:val="24"/>
          <w:szCs w:val="24"/>
        </w:rPr>
        <w:t xml:space="preserve"> or </w:t>
      </w:r>
      <w:proofErr w:type="spellStart"/>
      <w:r w:rsidRPr="008D777D">
        <w:rPr>
          <w:rFonts w:ascii="Bookman Old Style" w:hAnsi="Bookman Old Style" w:cs="Arial"/>
          <w:color w:val="000000" w:themeColor="text1"/>
          <w:sz w:val="24"/>
          <w:szCs w:val="24"/>
        </w:rPr>
        <w:t>roti</w:t>
      </w:r>
      <w:proofErr w:type="spellEnd"/>
      <w:r w:rsidRPr="008D777D">
        <w:rPr>
          <w:rFonts w:ascii="Bookman Old Style" w:hAnsi="Bookman Old Style" w:cs="Arial"/>
          <w:color w:val="000000" w:themeColor="text1"/>
          <w:sz w:val="24"/>
          <w:szCs w:val="24"/>
        </w:rPr>
        <w:t xml:space="preserve">, </w:t>
      </w:r>
      <w:proofErr w:type="spellStart"/>
      <w:r w:rsidRPr="008D777D">
        <w:rPr>
          <w:rFonts w:ascii="Bookman Old Style" w:hAnsi="Bookman Old Style" w:cs="Arial"/>
          <w:color w:val="000000" w:themeColor="text1"/>
          <w:sz w:val="24"/>
          <w:szCs w:val="24"/>
        </w:rPr>
        <w:t>paratha</w:t>
      </w:r>
      <w:proofErr w:type="spellEnd"/>
      <w:r w:rsidRPr="008D777D">
        <w:rPr>
          <w:rFonts w:ascii="Bookman Old Style" w:hAnsi="Bookman Old Style" w:cs="Arial"/>
          <w:color w:val="000000" w:themeColor="text1"/>
          <w:sz w:val="24"/>
          <w:szCs w:val="24"/>
        </w:rPr>
        <w:t xml:space="preserve">, </w:t>
      </w:r>
      <w:proofErr w:type="spellStart"/>
      <w:r w:rsidRPr="008D777D">
        <w:rPr>
          <w:rFonts w:ascii="Bookman Old Style" w:hAnsi="Bookman Old Style" w:cs="Arial"/>
          <w:color w:val="000000" w:themeColor="text1"/>
          <w:sz w:val="24"/>
          <w:szCs w:val="24"/>
        </w:rPr>
        <w:t>parotta</w:t>
      </w:r>
      <w:proofErr w:type="spellEnd"/>
      <w:r w:rsidRPr="008D777D">
        <w:rPr>
          <w:rFonts w:ascii="Bookman Old Style" w:hAnsi="Bookman Old Style" w:cs="Arial"/>
          <w:color w:val="000000" w:themeColor="text1"/>
          <w:sz w:val="24"/>
          <w:szCs w:val="24"/>
        </w:rPr>
        <w:t>, etc).</w:t>
      </w:r>
    </w:p>
    <w:p w:rsidR="005662D7" w:rsidRDefault="005662D7" w:rsidP="005662D7">
      <w:pPr>
        <w:pStyle w:val="Header"/>
        <w:numPr>
          <w:ilvl w:val="0"/>
          <w:numId w:val="1"/>
        </w:numPr>
        <w:tabs>
          <w:tab w:val="left" w:pos="9360"/>
        </w:tabs>
        <w:spacing w:line="276" w:lineRule="auto"/>
        <w:jc w:val="both"/>
        <w:rPr>
          <w:rFonts w:ascii="Bookman Old Style" w:hAnsi="Bookman Old Style" w:cs="Arial"/>
          <w:bCs/>
          <w:color w:val="000000" w:themeColor="text1"/>
          <w:sz w:val="24"/>
          <w:szCs w:val="24"/>
        </w:rPr>
      </w:pPr>
      <w:r w:rsidRPr="00625382">
        <w:rPr>
          <w:rFonts w:ascii="Bookman Old Style" w:hAnsi="Bookman Old Style" w:cs="Arial"/>
          <w:bCs/>
          <w:color w:val="000000" w:themeColor="text1"/>
          <w:sz w:val="24"/>
          <w:szCs w:val="24"/>
        </w:rPr>
        <w:t xml:space="preserve">Reduction of GST from 12% OR 18% to 5% on almost all of the food items such as packaged </w:t>
      </w:r>
      <w:proofErr w:type="spellStart"/>
      <w:r w:rsidRPr="00625382">
        <w:rPr>
          <w:rFonts w:ascii="Bookman Old Style" w:hAnsi="Bookman Old Style" w:cs="Arial"/>
          <w:bCs/>
          <w:color w:val="000000" w:themeColor="text1"/>
          <w:sz w:val="24"/>
          <w:szCs w:val="24"/>
        </w:rPr>
        <w:t>namkeens</w:t>
      </w:r>
      <w:proofErr w:type="spellEnd"/>
      <w:r w:rsidRPr="00625382">
        <w:rPr>
          <w:rFonts w:ascii="Bookman Old Style" w:hAnsi="Bookman Old Style" w:cs="Arial"/>
          <w:bCs/>
          <w:color w:val="000000" w:themeColor="text1"/>
          <w:sz w:val="24"/>
          <w:szCs w:val="24"/>
        </w:rPr>
        <w:t xml:space="preserve">, </w:t>
      </w:r>
      <w:proofErr w:type="spellStart"/>
      <w:r w:rsidRPr="00625382">
        <w:rPr>
          <w:rFonts w:ascii="Bookman Old Style" w:hAnsi="Bookman Old Style" w:cs="Arial"/>
          <w:bCs/>
          <w:color w:val="000000" w:themeColor="text1"/>
          <w:sz w:val="24"/>
          <w:szCs w:val="24"/>
        </w:rPr>
        <w:t>Bhujia</w:t>
      </w:r>
      <w:proofErr w:type="spellEnd"/>
      <w:r w:rsidRPr="00625382">
        <w:rPr>
          <w:rFonts w:ascii="Bookman Old Style" w:hAnsi="Bookman Old Style" w:cs="Arial"/>
          <w:bCs/>
          <w:color w:val="000000" w:themeColor="text1"/>
          <w:sz w:val="24"/>
          <w:szCs w:val="24"/>
        </w:rPr>
        <w:t>, Sauces, Pasta, Instant Noodles, Chocolates, Coffee, Preserved Meat, Cornflakes, Butter, Ghee, etc.</w:t>
      </w:r>
    </w:p>
    <w:p w:rsidR="005662D7" w:rsidRPr="00F904D6" w:rsidRDefault="005662D7" w:rsidP="005662D7">
      <w:pPr>
        <w:pStyle w:val="Header"/>
        <w:numPr>
          <w:ilvl w:val="0"/>
          <w:numId w:val="1"/>
        </w:numPr>
        <w:tabs>
          <w:tab w:val="left" w:pos="9360"/>
        </w:tabs>
        <w:spacing w:line="276" w:lineRule="auto"/>
        <w:jc w:val="both"/>
        <w:rPr>
          <w:rFonts w:ascii="Bookman Old Style" w:hAnsi="Bookman Old Style" w:cs="Arial"/>
          <w:bCs/>
          <w:color w:val="000000" w:themeColor="text1"/>
          <w:sz w:val="24"/>
          <w:szCs w:val="24"/>
        </w:rPr>
      </w:pPr>
      <w:r w:rsidRPr="00625382">
        <w:rPr>
          <w:rFonts w:ascii="Bookman Old Style" w:hAnsi="Bookman Old Style" w:cs="Arial"/>
          <w:bCs/>
          <w:color w:val="000000" w:themeColor="text1"/>
          <w:sz w:val="24"/>
          <w:szCs w:val="24"/>
          <w:lang w:val="en-US"/>
        </w:rPr>
        <w:t xml:space="preserve">Reduction of GST from 12% OR 18% to 5% on almost all of the food items such as packaged </w:t>
      </w:r>
      <w:proofErr w:type="spellStart"/>
      <w:r w:rsidRPr="00625382">
        <w:rPr>
          <w:rFonts w:ascii="Bookman Old Style" w:hAnsi="Bookman Old Style" w:cs="Arial"/>
          <w:bCs/>
          <w:color w:val="000000" w:themeColor="text1"/>
          <w:sz w:val="24"/>
          <w:szCs w:val="24"/>
          <w:lang w:val="en-US"/>
        </w:rPr>
        <w:t>namkeens</w:t>
      </w:r>
      <w:proofErr w:type="spellEnd"/>
      <w:r w:rsidRPr="00625382">
        <w:rPr>
          <w:rFonts w:ascii="Bookman Old Style" w:hAnsi="Bookman Old Style" w:cs="Arial"/>
          <w:bCs/>
          <w:color w:val="000000" w:themeColor="text1"/>
          <w:sz w:val="24"/>
          <w:szCs w:val="24"/>
          <w:lang w:val="en-US"/>
        </w:rPr>
        <w:t xml:space="preserve">, </w:t>
      </w:r>
      <w:proofErr w:type="spellStart"/>
      <w:r w:rsidRPr="00625382">
        <w:rPr>
          <w:rFonts w:ascii="Bookman Old Style" w:hAnsi="Bookman Old Style" w:cs="Arial"/>
          <w:bCs/>
          <w:color w:val="000000" w:themeColor="text1"/>
          <w:sz w:val="24"/>
          <w:szCs w:val="24"/>
          <w:lang w:val="en-US"/>
        </w:rPr>
        <w:t>Bhujia</w:t>
      </w:r>
      <w:proofErr w:type="spellEnd"/>
      <w:r w:rsidRPr="00625382">
        <w:rPr>
          <w:rFonts w:ascii="Bookman Old Style" w:hAnsi="Bookman Old Style" w:cs="Arial"/>
          <w:bCs/>
          <w:color w:val="000000" w:themeColor="text1"/>
          <w:sz w:val="24"/>
          <w:szCs w:val="24"/>
          <w:lang w:val="en-US"/>
        </w:rPr>
        <w:t>, Sauces, Pasta, Instant Noodles, Chocolates, Coffee, Preserved Meat, Cornflakes, Butter, Ghee, etc</w:t>
      </w:r>
      <w:r>
        <w:rPr>
          <w:rFonts w:ascii="Bookman Old Style" w:hAnsi="Bookman Old Style" w:cs="Arial"/>
          <w:bCs/>
          <w:color w:val="000000" w:themeColor="text1"/>
          <w:sz w:val="24"/>
          <w:szCs w:val="24"/>
          <w:lang w:val="en-US"/>
        </w:rPr>
        <w:t>.</w:t>
      </w:r>
    </w:p>
    <w:p w:rsidR="005662D7" w:rsidRDefault="005662D7" w:rsidP="005662D7">
      <w:pPr>
        <w:pStyle w:val="Header"/>
        <w:tabs>
          <w:tab w:val="left" w:pos="9360"/>
        </w:tabs>
        <w:spacing w:line="276" w:lineRule="auto"/>
        <w:ind w:left="720"/>
        <w:jc w:val="both"/>
        <w:rPr>
          <w:rFonts w:ascii="Bookman Old Style" w:hAnsi="Bookman Old Style" w:cs="Arial"/>
          <w:bCs/>
          <w:color w:val="000000" w:themeColor="text1"/>
          <w:sz w:val="24"/>
          <w:szCs w:val="24"/>
          <w:lang w:val="en-US"/>
        </w:rPr>
      </w:pPr>
    </w:p>
    <w:p w:rsidR="005662D7" w:rsidRDefault="005662D7" w:rsidP="005662D7">
      <w:pPr>
        <w:pStyle w:val="Header"/>
        <w:tabs>
          <w:tab w:val="left" w:pos="9360"/>
        </w:tabs>
        <w:spacing w:line="276" w:lineRule="auto"/>
        <w:ind w:left="720"/>
        <w:jc w:val="both"/>
        <w:rPr>
          <w:rFonts w:ascii="Bookman Old Style" w:hAnsi="Bookman Old Style" w:cs="Arial"/>
          <w:bCs/>
          <w:color w:val="000000" w:themeColor="text1"/>
          <w:sz w:val="24"/>
          <w:szCs w:val="24"/>
          <w:lang w:val="en-US"/>
        </w:rPr>
      </w:pPr>
    </w:p>
    <w:p w:rsidR="005662D7" w:rsidRPr="00F904D6" w:rsidRDefault="005662D7" w:rsidP="005662D7">
      <w:pPr>
        <w:pStyle w:val="Header"/>
        <w:tabs>
          <w:tab w:val="left" w:pos="9360"/>
        </w:tabs>
        <w:spacing w:line="276" w:lineRule="auto"/>
        <w:ind w:left="720"/>
        <w:jc w:val="both"/>
        <w:rPr>
          <w:rFonts w:ascii="Bookman Old Style" w:hAnsi="Bookman Old Style" w:cs="Arial"/>
          <w:bCs/>
          <w:color w:val="000000" w:themeColor="text1"/>
          <w:sz w:val="24"/>
          <w:szCs w:val="24"/>
        </w:rPr>
      </w:pPr>
    </w:p>
    <w:p w:rsidR="005662D7" w:rsidRPr="00625382" w:rsidRDefault="005662D7" w:rsidP="005662D7">
      <w:pPr>
        <w:pStyle w:val="Header"/>
        <w:tabs>
          <w:tab w:val="left" w:pos="9360"/>
        </w:tabs>
        <w:spacing w:line="276" w:lineRule="auto"/>
        <w:jc w:val="both"/>
        <w:rPr>
          <w:rFonts w:ascii="Bookman Old Style" w:hAnsi="Bookman Old Style" w:cs="Arial"/>
          <w:bCs/>
          <w:color w:val="000000" w:themeColor="text1"/>
          <w:sz w:val="24"/>
          <w:szCs w:val="24"/>
        </w:rPr>
      </w:pPr>
    </w:p>
    <w:p w:rsidR="005662D7" w:rsidRDefault="005662D7" w:rsidP="005662D7">
      <w:pPr>
        <w:pStyle w:val="Header"/>
        <w:numPr>
          <w:ilvl w:val="0"/>
          <w:numId w:val="1"/>
        </w:numPr>
        <w:tabs>
          <w:tab w:val="left" w:pos="9360"/>
        </w:tabs>
        <w:spacing w:line="276" w:lineRule="auto"/>
        <w:jc w:val="both"/>
        <w:rPr>
          <w:rFonts w:ascii="Bookman Old Style" w:hAnsi="Bookman Old Style" w:cs="Arial"/>
          <w:bCs/>
          <w:color w:val="000000" w:themeColor="text1"/>
          <w:sz w:val="24"/>
          <w:szCs w:val="24"/>
        </w:rPr>
      </w:pPr>
      <w:proofErr w:type="gramStart"/>
      <w:r w:rsidRPr="00625382">
        <w:rPr>
          <w:rFonts w:ascii="Bookman Old Style" w:hAnsi="Bookman Old Style" w:cs="Arial"/>
          <w:bCs/>
          <w:color w:val="000000" w:themeColor="text1"/>
          <w:sz w:val="24"/>
          <w:szCs w:val="24"/>
        </w:rPr>
        <w:t>Reduction of GST from 28% to 18% on Air-conditioning machines, TVs~32 inch (all TVs now at 18%), Dishwashing machines, Small cars, Motorcycles equal to or less than 350 CC</w:t>
      </w:r>
      <w:r>
        <w:rPr>
          <w:rFonts w:ascii="Bookman Old Style" w:hAnsi="Bookman Old Style" w:cs="Arial"/>
          <w:bCs/>
          <w:color w:val="000000" w:themeColor="text1"/>
          <w:sz w:val="24"/>
          <w:szCs w:val="24"/>
        </w:rPr>
        <w:t>.</w:t>
      </w:r>
      <w:proofErr w:type="gramEnd"/>
    </w:p>
    <w:p w:rsidR="005662D7" w:rsidRDefault="005662D7" w:rsidP="005662D7">
      <w:pPr>
        <w:pStyle w:val="Header"/>
        <w:numPr>
          <w:ilvl w:val="0"/>
          <w:numId w:val="1"/>
        </w:numPr>
        <w:tabs>
          <w:tab w:val="left" w:pos="9360"/>
        </w:tabs>
        <w:spacing w:line="276" w:lineRule="auto"/>
        <w:jc w:val="both"/>
        <w:rPr>
          <w:rFonts w:ascii="Bookman Old Style" w:hAnsi="Bookman Old Style" w:cs="Arial"/>
          <w:bCs/>
          <w:color w:val="000000" w:themeColor="text1"/>
          <w:sz w:val="24"/>
          <w:szCs w:val="24"/>
        </w:rPr>
      </w:pPr>
      <w:r w:rsidRPr="00625382">
        <w:rPr>
          <w:rFonts w:ascii="Bookman Old Style" w:hAnsi="Bookman Old Style" w:cs="Arial"/>
          <w:bCs/>
          <w:color w:val="000000" w:themeColor="text1"/>
          <w:sz w:val="24"/>
          <w:szCs w:val="24"/>
        </w:rPr>
        <w:t>Reduction of GST from 12% to 5% on agricultural goods, such as tractors, agricultural, horticultural or forestry machinery for soil preparation or cultivation, harvesting or threshing machinery, including straw or fodder balers, grass or hay mowers, composting machines etc</w:t>
      </w:r>
      <w:r>
        <w:rPr>
          <w:rFonts w:ascii="Bookman Old Style" w:hAnsi="Bookman Old Style" w:cs="Arial"/>
          <w:bCs/>
          <w:color w:val="000000" w:themeColor="text1"/>
          <w:sz w:val="24"/>
          <w:szCs w:val="24"/>
        </w:rPr>
        <w:t>.</w:t>
      </w:r>
    </w:p>
    <w:p w:rsidR="005662D7" w:rsidRDefault="005662D7" w:rsidP="005662D7">
      <w:pPr>
        <w:pStyle w:val="Header"/>
        <w:numPr>
          <w:ilvl w:val="0"/>
          <w:numId w:val="1"/>
        </w:numPr>
        <w:tabs>
          <w:tab w:val="left" w:pos="9360"/>
        </w:tabs>
        <w:spacing w:line="276" w:lineRule="auto"/>
        <w:jc w:val="both"/>
        <w:rPr>
          <w:rFonts w:ascii="Bookman Old Style" w:hAnsi="Bookman Old Style" w:cs="Arial"/>
          <w:bCs/>
          <w:color w:val="000000" w:themeColor="text1"/>
          <w:sz w:val="24"/>
          <w:szCs w:val="24"/>
        </w:rPr>
      </w:pPr>
      <w:r w:rsidRPr="00625382">
        <w:rPr>
          <w:rFonts w:ascii="Bookman Old Style" w:hAnsi="Bookman Old Style" w:cs="Arial"/>
          <w:bCs/>
          <w:color w:val="000000" w:themeColor="text1"/>
          <w:sz w:val="24"/>
          <w:szCs w:val="24"/>
        </w:rPr>
        <w:t>Reduction of GST from 28% to 18% on Cement</w:t>
      </w:r>
      <w:r>
        <w:rPr>
          <w:rFonts w:ascii="Bookman Old Style" w:hAnsi="Bookman Old Style" w:cs="Arial"/>
          <w:bCs/>
          <w:color w:val="000000" w:themeColor="text1"/>
          <w:sz w:val="24"/>
          <w:szCs w:val="24"/>
        </w:rPr>
        <w:t>.</w:t>
      </w:r>
    </w:p>
    <w:p w:rsidR="005662D7" w:rsidRPr="00AA175F"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bCs/>
          <w:iCs/>
          <w:color w:val="000000" w:themeColor="text1"/>
          <w:lang w:val="en-IN" w:eastAsia="en-IN" w:bidi="hi-IN"/>
        </w:rPr>
      </w:pPr>
      <w:r w:rsidRPr="00AA175F">
        <w:rPr>
          <w:rFonts w:ascii="Bookman Old Style" w:eastAsiaTheme="minorEastAsia" w:hAnsi="Bookman Old Style" w:cs="Arial"/>
          <w:iCs/>
          <w:color w:val="000000" w:themeColor="text1"/>
          <w:lang w:val="en-IN" w:eastAsia="en-IN" w:bidi="hi-IN"/>
        </w:rPr>
        <w:t>Reduction of GST from 12% to NIL on 33 lifesaving drugs and medicines and from 5% to NIL on 3 lifesaving drugs &amp; medicines used for treatment of cancer, rare diseases and other severe chronic diseases.</w:t>
      </w:r>
    </w:p>
    <w:p w:rsidR="005662D7" w:rsidRPr="00AA175F"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bCs/>
          <w:iCs/>
          <w:color w:val="000000" w:themeColor="text1"/>
          <w:lang w:val="en-IN" w:eastAsia="en-IN" w:bidi="hi-IN"/>
        </w:rPr>
      </w:pPr>
      <w:r w:rsidRPr="00AA175F">
        <w:rPr>
          <w:rFonts w:ascii="Bookman Old Style" w:eastAsiaTheme="minorEastAsia" w:hAnsi="Bookman Old Style" w:cs="Arial"/>
          <w:iCs/>
          <w:color w:val="000000" w:themeColor="text1"/>
          <w:lang w:val="en-IN" w:eastAsia="en-IN" w:bidi="hi-IN"/>
        </w:rPr>
        <w:t>Reduction of GST on all other drugs and medicines from 12% to 5%.</w:t>
      </w:r>
    </w:p>
    <w:p w:rsidR="005662D7" w:rsidRPr="00AA175F"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bCs/>
          <w:iCs/>
          <w:color w:val="000000" w:themeColor="text1"/>
          <w:lang w:val="en-IN" w:eastAsia="en-IN" w:bidi="hi-IN"/>
        </w:rPr>
      </w:pPr>
      <w:r w:rsidRPr="00AA175F">
        <w:rPr>
          <w:rFonts w:ascii="Bookman Old Style" w:eastAsiaTheme="minorEastAsia" w:hAnsi="Bookman Old Style" w:cs="Arial"/>
          <w:iCs/>
          <w:color w:val="000000" w:themeColor="text1"/>
          <w:lang w:val="en-IN" w:eastAsia="en-IN" w:bidi="hi-IN"/>
        </w:rPr>
        <w:t>Reduction of GST from 18% to 5% on various medical apparatus and devices used for medical, surgical, dental or veterinary usage or for physical or chemical analysis</w:t>
      </w:r>
      <w:r>
        <w:rPr>
          <w:rFonts w:ascii="Bookman Old Style" w:eastAsiaTheme="minorEastAsia" w:hAnsi="Bookman Old Style" w:cs="Arial"/>
          <w:iCs/>
          <w:color w:val="000000" w:themeColor="text1"/>
          <w:lang w:val="en-IN" w:eastAsia="en-IN" w:bidi="hi-IN"/>
        </w:rPr>
        <w:t>.</w:t>
      </w:r>
    </w:p>
    <w:p w:rsidR="005662D7" w:rsidRPr="00AA175F"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bCs/>
          <w:iCs/>
          <w:color w:val="000000" w:themeColor="text1"/>
          <w:lang w:val="en-IN" w:eastAsia="en-IN" w:bidi="hi-IN"/>
        </w:rPr>
      </w:pPr>
      <w:r w:rsidRPr="00AA175F">
        <w:rPr>
          <w:rFonts w:ascii="Bookman Old Style" w:eastAsiaTheme="minorEastAsia" w:hAnsi="Bookman Old Style" w:cs="Arial"/>
          <w:iCs/>
          <w:color w:val="000000" w:themeColor="text1"/>
          <w:lang w:val="en-IN" w:eastAsia="en-IN" w:bidi="hi-IN"/>
        </w:rPr>
        <w:t>Reduction of GST from 12% to 5% on various medical equipment and supplies devices such as wadding gauze, bandages, diagnostic kits and reagents, blood glucose monitoring system (</w:t>
      </w:r>
      <w:proofErr w:type="spellStart"/>
      <w:r w:rsidRPr="00AA175F">
        <w:rPr>
          <w:rFonts w:ascii="Bookman Old Style" w:eastAsiaTheme="minorEastAsia" w:hAnsi="Bookman Old Style" w:cs="Arial"/>
          <w:iCs/>
          <w:color w:val="000000" w:themeColor="text1"/>
          <w:lang w:val="en-IN" w:eastAsia="en-IN" w:bidi="hi-IN"/>
        </w:rPr>
        <w:t>Glucometer</w:t>
      </w:r>
      <w:proofErr w:type="spellEnd"/>
      <w:r w:rsidRPr="00AA175F">
        <w:rPr>
          <w:rFonts w:ascii="Bookman Old Style" w:eastAsiaTheme="minorEastAsia" w:hAnsi="Bookman Old Style" w:cs="Arial"/>
          <w:iCs/>
          <w:color w:val="000000" w:themeColor="text1"/>
          <w:lang w:val="en-IN" w:eastAsia="en-IN" w:bidi="hi-IN"/>
        </w:rPr>
        <w:t>) medical devices, etc</w:t>
      </w:r>
      <w:r>
        <w:rPr>
          <w:rFonts w:ascii="Bookman Old Style" w:eastAsiaTheme="minorEastAsia" w:hAnsi="Bookman Old Style" w:cs="Arial"/>
          <w:iCs/>
          <w:color w:val="000000" w:themeColor="text1"/>
          <w:lang w:val="en-IN" w:eastAsia="en-IN" w:bidi="hi-IN"/>
        </w:rPr>
        <w:t>.</w:t>
      </w:r>
    </w:p>
    <w:p w:rsidR="005662D7" w:rsidRPr="006009BC"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iCs/>
          <w:color w:val="000000" w:themeColor="text1"/>
          <w:lang w:val="en-IN" w:eastAsia="en-IN" w:bidi="hi-IN"/>
        </w:rPr>
      </w:pPr>
      <w:r w:rsidRPr="006009BC">
        <w:rPr>
          <w:rFonts w:ascii="Bookman Old Style" w:eastAsiaTheme="minorEastAsia" w:hAnsi="Bookman Old Style" w:cs="Arial"/>
          <w:bCs/>
          <w:iCs/>
          <w:color w:val="000000" w:themeColor="text1"/>
          <w:lang w:val="en-IN" w:eastAsia="en-IN" w:bidi="hi-IN"/>
        </w:rPr>
        <w:t>Reduction of GST from 28% to 18% on Small Cars and Motorcycles equal to or below 350cc</w:t>
      </w:r>
      <w:r>
        <w:rPr>
          <w:rFonts w:ascii="Bookman Old Style" w:eastAsiaTheme="minorEastAsia" w:hAnsi="Bookman Old Style" w:cs="Arial"/>
          <w:bCs/>
          <w:iCs/>
          <w:color w:val="000000" w:themeColor="text1"/>
          <w:lang w:val="en-IN" w:eastAsia="en-IN" w:bidi="hi-IN"/>
        </w:rPr>
        <w:t>.</w:t>
      </w:r>
    </w:p>
    <w:p w:rsidR="005662D7" w:rsidRPr="006009BC"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iCs/>
          <w:color w:val="000000" w:themeColor="text1"/>
          <w:lang w:val="en-IN" w:eastAsia="en-IN" w:bidi="hi-IN"/>
        </w:rPr>
      </w:pPr>
      <w:r w:rsidRPr="006009BC">
        <w:rPr>
          <w:rFonts w:ascii="Bookman Old Style" w:eastAsiaTheme="minorEastAsia" w:hAnsi="Bookman Old Style" w:cs="Arial"/>
          <w:bCs/>
          <w:iCs/>
          <w:color w:val="000000" w:themeColor="text1"/>
          <w:lang w:val="en-IN" w:eastAsia="en-IN" w:bidi="hi-IN"/>
        </w:rPr>
        <w:t>Reduction of GST from 28% to 18% on buses, trucks, ambulances etc</w:t>
      </w:r>
      <w:r>
        <w:rPr>
          <w:rFonts w:ascii="Bookman Old Style" w:eastAsiaTheme="minorEastAsia" w:hAnsi="Bookman Old Style" w:cs="Arial"/>
          <w:bCs/>
          <w:iCs/>
          <w:color w:val="000000" w:themeColor="text1"/>
          <w:lang w:val="en-IN" w:eastAsia="en-IN" w:bidi="hi-IN"/>
        </w:rPr>
        <w:t>.</w:t>
      </w:r>
    </w:p>
    <w:p w:rsidR="005662D7" w:rsidRPr="006009BC"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iCs/>
          <w:color w:val="000000" w:themeColor="text1"/>
          <w:lang w:val="en-IN" w:eastAsia="en-IN" w:bidi="hi-IN"/>
        </w:rPr>
      </w:pPr>
      <w:r w:rsidRPr="006009BC">
        <w:rPr>
          <w:rFonts w:ascii="Bookman Old Style" w:eastAsiaTheme="minorEastAsia" w:hAnsi="Bookman Old Style" w:cs="Arial"/>
          <w:bCs/>
          <w:iCs/>
          <w:color w:val="000000" w:themeColor="text1"/>
          <w:lang w:val="en-IN" w:eastAsia="en-IN" w:bidi="hi-IN"/>
        </w:rPr>
        <w:t>Uniform rate of 18% on all auto parts irrespective of their HS code; Three-Wheelers from 28% to 18%</w:t>
      </w:r>
      <w:r>
        <w:rPr>
          <w:rFonts w:ascii="Bookman Old Style" w:eastAsiaTheme="minorEastAsia" w:hAnsi="Bookman Old Style" w:cs="Arial"/>
          <w:bCs/>
          <w:iCs/>
          <w:color w:val="000000" w:themeColor="text1"/>
          <w:lang w:val="en-IN" w:eastAsia="en-IN" w:bidi="hi-IN"/>
        </w:rPr>
        <w:t>.</w:t>
      </w:r>
    </w:p>
    <w:p w:rsidR="005662D7" w:rsidRPr="006009BC"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iCs/>
          <w:color w:val="000000" w:themeColor="text1"/>
          <w:lang w:val="en-IN" w:eastAsia="en-IN" w:bidi="hi-IN"/>
        </w:rPr>
      </w:pPr>
      <w:r w:rsidRPr="006009BC">
        <w:rPr>
          <w:rFonts w:ascii="Bookman Old Style" w:eastAsiaTheme="minorEastAsia" w:hAnsi="Bookman Old Style" w:cs="Arial"/>
          <w:bCs/>
          <w:iCs/>
          <w:color w:val="000000" w:themeColor="text1"/>
          <w:lang w:val="en-IN" w:eastAsia="en-IN" w:bidi="hi-IN"/>
        </w:rPr>
        <w:t>Correction of long-pending inverted duty structure for the manmade textile sector by reducing GST rate on manmade fibre from 18% to 5% and manmade yarn from 12% to 5%</w:t>
      </w:r>
      <w:r>
        <w:rPr>
          <w:rFonts w:ascii="Bookman Old Style" w:eastAsiaTheme="minorEastAsia" w:hAnsi="Bookman Old Style" w:cs="Arial"/>
          <w:bCs/>
          <w:iCs/>
          <w:color w:val="000000" w:themeColor="text1"/>
          <w:lang w:val="en-IN" w:eastAsia="en-IN" w:bidi="hi-IN"/>
        </w:rPr>
        <w:t>.</w:t>
      </w:r>
    </w:p>
    <w:p w:rsidR="005662D7" w:rsidRPr="006009BC"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iCs/>
          <w:color w:val="000000" w:themeColor="text1"/>
          <w:lang w:val="en-IN" w:eastAsia="en-IN" w:bidi="hi-IN"/>
        </w:rPr>
      </w:pPr>
      <w:r w:rsidRPr="006009BC">
        <w:rPr>
          <w:rFonts w:ascii="Bookman Old Style" w:eastAsiaTheme="minorEastAsia" w:hAnsi="Bookman Old Style" w:cs="Arial"/>
          <w:bCs/>
          <w:iCs/>
          <w:color w:val="000000" w:themeColor="text1"/>
          <w:lang w:val="en-IN" w:eastAsia="en-IN" w:bidi="hi-IN"/>
        </w:rPr>
        <w:t>Correction of inverted duty structure in fertilizer sector by reducing GST from 18% to 5% on Sulphuric acid, Nitric acid and Ammonia</w:t>
      </w:r>
      <w:r>
        <w:rPr>
          <w:rFonts w:ascii="Bookman Old Style" w:eastAsiaTheme="minorEastAsia" w:hAnsi="Bookman Old Style" w:cs="Arial"/>
          <w:bCs/>
          <w:iCs/>
          <w:color w:val="000000" w:themeColor="text1"/>
          <w:lang w:val="en-IN" w:eastAsia="en-IN" w:bidi="hi-IN"/>
        </w:rPr>
        <w:t>.</w:t>
      </w:r>
    </w:p>
    <w:p w:rsidR="005662D7" w:rsidRPr="008F3204"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bCs/>
          <w:iCs/>
          <w:color w:val="000000" w:themeColor="text1"/>
          <w:lang w:val="en-IN" w:eastAsia="en-IN" w:bidi="hi-IN"/>
        </w:rPr>
      </w:pPr>
      <w:r w:rsidRPr="008F3204">
        <w:rPr>
          <w:rFonts w:ascii="Bookman Old Style" w:eastAsiaTheme="minorEastAsia" w:hAnsi="Bookman Old Style" w:cs="Arial"/>
          <w:iCs/>
          <w:color w:val="000000" w:themeColor="text1"/>
          <w:lang w:val="en-IN" w:eastAsia="en-IN" w:bidi="hi-IN"/>
        </w:rPr>
        <w:t>Reduction of GST from 12% to 5% on renewable energy devices and parts for their manufacture</w:t>
      </w:r>
      <w:r>
        <w:rPr>
          <w:rFonts w:ascii="Bookman Old Style" w:eastAsiaTheme="minorEastAsia" w:hAnsi="Bookman Old Style" w:cs="Arial"/>
          <w:iCs/>
          <w:color w:val="000000" w:themeColor="text1"/>
          <w:lang w:val="en-IN" w:eastAsia="en-IN" w:bidi="hi-IN"/>
        </w:rPr>
        <w:t>.</w:t>
      </w:r>
    </w:p>
    <w:p w:rsidR="005662D7" w:rsidRPr="008F3204"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bCs/>
          <w:iCs/>
          <w:color w:val="000000" w:themeColor="text1"/>
          <w:lang w:val="en-IN" w:eastAsia="en-IN" w:bidi="hi-IN"/>
        </w:rPr>
      </w:pPr>
      <w:r w:rsidRPr="008F3204">
        <w:rPr>
          <w:rFonts w:ascii="Bookman Old Style" w:eastAsiaTheme="minorEastAsia" w:hAnsi="Bookman Old Style" w:cs="Arial"/>
          <w:iCs/>
          <w:color w:val="000000" w:themeColor="text1"/>
          <w:lang w:val="en-IN" w:eastAsia="en-IN" w:bidi="hi-IN"/>
        </w:rPr>
        <w:t>Reduction of GST from 12% to 5% on “Hotel Accommodation” services having value less than or equal to Rs. 7,500 per unit per day or equivalent</w:t>
      </w:r>
      <w:r>
        <w:rPr>
          <w:rFonts w:ascii="Bookman Old Style" w:eastAsiaTheme="minorEastAsia" w:hAnsi="Bookman Old Style" w:cs="Arial"/>
          <w:iCs/>
          <w:color w:val="000000" w:themeColor="text1"/>
          <w:lang w:val="en-IN" w:eastAsia="en-IN" w:bidi="hi-IN"/>
        </w:rPr>
        <w:t>.</w:t>
      </w:r>
    </w:p>
    <w:p w:rsidR="005662D7" w:rsidRPr="00522653"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bCs/>
          <w:iCs/>
          <w:color w:val="000000" w:themeColor="text1"/>
          <w:lang w:val="en-IN" w:eastAsia="en-IN" w:bidi="hi-IN"/>
        </w:rPr>
      </w:pPr>
      <w:r w:rsidRPr="008F3204">
        <w:rPr>
          <w:rFonts w:ascii="Bookman Old Style" w:eastAsiaTheme="minorEastAsia" w:hAnsi="Bookman Old Style" w:cs="Arial"/>
          <w:iCs/>
          <w:color w:val="000000" w:themeColor="text1"/>
          <w:lang w:val="en-IN" w:eastAsia="en-IN" w:bidi="hi-IN"/>
        </w:rPr>
        <w:t>Reduction of GST from 18% to 5% on beauty and physical well-being services used by common man including services of gyms, salons, barbers, yoga centres, etc</w:t>
      </w:r>
      <w:r>
        <w:rPr>
          <w:rFonts w:ascii="Bookman Old Style" w:eastAsiaTheme="minorEastAsia" w:hAnsi="Bookman Old Style" w:cs="Arial"/>
          <w:iCs/>
          <w:color w:val="000000" w:themeColor="text1"/>
          <w:lang w:val="en-IN" w:eastAsia="en-IN" w:bidi="hi-IN"/>
        </w:rPr>
        <w:t>.</w:t>
      </w:r>
    </w:p>
    <w:p w:rsidR="005662D7" w:rsidRPr="00F904D6" w:rsidRDefault="005662D7" w:rsidP="005662D7">
      <w:pPr>
        <w:pStyle w:val="NormalWeb"/>
        <w:numPr>
          <w:ilvl w:val="0"/>
          <w:numId w:val="1"/>
        </w:numPr>
        <w:shd w:val="clear" w:color="auto" w:fill="FFFFFF"/>
        <w:spacing w:before="0" w:beforeAutospacing="0" w:after="150" w:afterAutospacing="0"/>
        <w:jc w:val="both"/>
        <w:rPr>
          <w:rFonts w:ascii="Bookman Old Style" w:eastAsiaTheme="minorEastAsia" w:hAnsi="Bookman Old Style" w:cs="Arial"/>
          <w:bCs/>
          <w:iCs/>
          <w:color w:val="000000" w:themeColor="text1"/>
          <w:lang w:val="en-IN" w:eastAsia="en-IN" w:bidi="hi-IN"/>
        </w:rPr>
      </w:pPr>
      <w:r>
        <w:rPr>
          <w:rFonts w:ascii="Bookman Old Style" w:eastAsiaTheme="minorEastAsia" w:hAnsi="Bookman Old Style" w:cs="Arial"/>
          <w:iCs/>
          <w:color w:val="000000" w:themeColor="text1"/>
          <w:lang w:val="en-IN" w:eastAsia="en-IN" w:bidi="hi-IN"/>
        </w:rPr>
        <w:t xml:space="preserve">Notification No. 9/2025 Central Tax (Rate), 10/2025 Central Tax (Rate), 13/2025 Central Tax (Rate), 11/2025 Central Tax (Rate), 14/2025 Central Tax (Rate) </w:t>
      </w:r>
      <w:r w:rsidR="005B4E6F">
        <w:rPr>
          <w:rFonts w:ascii="Bookman Old Style" w:eastAsiaTheme="minorEastAsia" w:hAnsi="Bookman Old Style" w:cs="Arial"/>
          <w:iCs/>
          <w:color w:val="000000" w:themeColor="text1"/>
          <w:lang w:val="en-IN" w:eastAsia="en-IN" w:bidi="hi-IN"/>
        </w:rPr>
        <w:t xml:space="preserve">all dated 17.09.2025 </w:t>
      </w:r>
      <w:r>
        <w:rPr>
          <w:rFonts w:ascii="Bookman Old Style" w:eastAsiaTheme="minorEastAsia" w:hAnsi="Bookman Old Style" w:cs="Arial"/>
          <w:iCs/>
          <w:color w:val="000000" w:themeColor="text1"/>
          <w:lang w:val="en-IN" w:eastAsia="en-IN" w:bidi="hi-IN"/>
        </w:rPr>
        <w:t xml:space="preserve">and 02/2025 </w:t>
      </w:r>
      <w:r w:rsidR="005B4E6F">
        <w:rPr>
          <w:rFonts w:ascii="Bookman Old Style" w:eastAsiaTheme="minorEastAsia" w:hAnsi="Bookman Old Style" w:cs="Arial"/>
          <w:iCs/>
          <w:color w:val="000000" w:themeColor="text1"/>
          <w:lang w:val="en-IN" w:eastAsia="en-IN" w:bidi="hi-IN"/>
        </w:rPr>
        <w:t>Compensation Cess</w:t>
      </w:r>
      <w:r>
        <w:rPr>
          <w:rFonts w:ascii="Bookman Old Style" w:eastAsiaTheme="minorEastAsia" w:hAnsi="Bookman Old Style" w:cs="Arial"/>
          <w:iCs/>
          <w:color w:val="000000" w:themeColor="text1"/>
          <w:lang w:val="en-IN" w:eastAsia="en-IN" w:bidi="hi-IN"/>
        </w:rPr>
        <w:t xml:space="preserve"> (Rate) </w:t>
      </w:r>
      <w:r w:rsidR="005B4E6F">
        <w:rPr>
          <w:rFonts w:ascii="Bookman Old Style" w:eastAsiaTheme="minorEastAsia" w:hAnsi="Bookman Old Style" w:cs="Arial"/>
          <w:iCs/>
          <w:color w:val="000000" w:themeColor="text1"/>
          <w:lang w:val="en-IN" w:eastAsia="en-IN" w:bidi="hi-IN"/>
        </w:rPr>
        <w:t xml:space="preserve">dated 17.09.2025 </w:t>
      </w:r>
      <w:r>
        <w:rPr>
          <w:rFonts w:ascii="Bookman Old Style" w:eastAsiaTheme="minorEastAsia" w:hAnsi="Bookman Old Style" w:cs="Arial"/>
          <w:iCs/>
          <w:color w:val="000000" w:themeColor="text1"/>
          <w:lang w:val="en-IN" w:eastAsia="en-IN" w:bidi="hi-IN"/>
        </w:rPr>
        <w:t>may be referred to in this regard for all goods/services.</w:t>
      </w:r>
    </w:p>
    <w:sectPr w:rsidR="005662D7" w:rsidRPr="00F904D6" w:rsidSect="00E92923">
      <w:pgSz w:w="12240" w:h="15840"/>
      <w:pgMar w:top="284"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F497D"/>
    <w:multiLevelType w:val="hybridMultilevel"/>
    <w:tmpl w:val="BFDCE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32877"/>
    <w:rsid w:val="00332877"/>
    <w:rsid w:val="00466B11"/>
    <w:rsid w:val="005662D7"/>
    <w:rsid w:val="005B4E6F"/>
    <w:rsid w:val="006D0D7C"/>
    <w:rsid w:val="00AE5C92"/>
    <w:rsid w:val="00B17576"/>
    <w:rsid w:val="00C80AF2"/>
    <w:rsid w:val="00CE4AE8"/>
    <w:rsid w:val="00E92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77"/>
    <w:rPr>
      <w:rFonts w:eastAsiaTheme="minorEastAsia"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332877"/>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332877"/>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qFormat/>
    <w:rsid w:val="00332877"/>
    <w:rPr>
      <w:rFonts w:ascii="Times New Roman" w:eastAsia="Times New Roman" w:hAnsi="Times New Roman" w:cs="Times New Roman"/>
      <w:sz w:val="24"/>
      <w:szCs w:val="24"/>
    </w:rPr>
  </w:style>
  <w:style w:type="paragraph" w:styleId="Header">
    <w:name w:val="header"/>
    <w:basedOn w:val="Normal"/>
    <w:link w:val="HeaderChar"/>
    <w:unhideWhenUsed/>
    <w:qFormat/>
    <w:rsid w:val="00332877"/>
    <w:pPr>
      <w:tabs>
        <w:tab w:val="center" w:pos="4680"/>
        <w:tab w:val="right" w:pos="9360"/>
      </w:tabs>
      <w:spacing w:after="0" w:line="240" w:lineRule="auto"/>
    </w:pPr>
    <w:rPr>
      <w:rFonts w:ascii="Arial" w:hAnsi="Arial"/>
      <w:iCs/>
      <w:lang w:val="en-IN" w:eastAsia="en-IN"/>
    </w:rPr>
  </w:style>
  <w:style w:type="character" w:customStyle="1" w:styleId="HeaderChar">
    <w:name w:val="Header Char"/>
    <w:basedOn w:val="DefaultParagraphFont"/>
    <w:link w:val="Header"/>
    <w:qFormat/>
    <w:rsid w:val="00332877"/>
    <w:rPr>
      <w:rFonts w:ascii="Arial" w:eastAsiaTheme="minorEastAsia" w:hAnsi="Arial" w:cs="Mangal"/>
      <w:iCs/>
      <w:szCs w:val="20"/>
      <w:lang w:val="en-IN" w:eastAsia="en-IN" w:bidi="hi-IN"/>
    </w:rPr>
  </w:style>
  <w:style w:type="paragraph" w:styleId="NormalWeb">
    <w:name w:val="Normal (Web)"/>
    <w:basedOn w:val="Normal"/>
    <w:uiPriority w:val="99"/>
    <w:unhideWhenUsed/>
    <w:rsid w:val="00332877"/>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33287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32877"/>
    <w:rPr>
      <w:rFonts w:ascii="Tahoma" w:eastAsiaTheme="minorEastAsia"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2025-09-22T13:51:00Z</cp:lastPrinted>
  <dcterms:created xsi:type="dcterms:W3CDTF">2025-09-22T13:58:00Z</dcterms:created>
  <dcterms:modified xsi:type="dcterms:W3CDTF">2025-09-22T13:58:00Z</dcterms:modified>
</cp:coreProperties>
</file>